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2D" w:rsidRPr="0031547E" w:rsidRDefault="009E192D" w:rsidP="005D5836">
      <w:pPr>
        <w:spacing w:before="120" w:after="120"/>
        <w:ind w:left="5670"/>
        <w:rPr>
          <w:sz w:val="26"/>
          <w:szCs w:val="26"/>
        </w:rPr>
      </w:pPr>
    </w:p>
    <w:p w:rsidR="009E192D" w:rsidRPr="0031547E" w:rsidRDefault="009E192D" w:rsidP="005D5836">
      <w:pPr>
        <w:spacing w:before="120" w:after="120"/>
        <w:ind w:left="5670"/>
        <w:rPr>
          <w:sz w:val="26"/>
          <w:szCs w:val="26"/>
        </w:rPr>
      </w:pPr>
    </w:p>
    <w:p w:rsidR="009E192D" w:rsidRPr="0031547E" w:rsidRDefault="009E192D" w:rsidP="005D5836">
      <w:pPr>
        <w:spacing w:before="120" w:after="120"/>
        <w:ind w:left="5670"/>
        <w:rPr>
          <w:sz w:val="26"/>
          <w:szCs w:val="26"/>
        </w:rPr>
      </w:pPr>
    </w:p>
    <w:p w:rsidR="009E192D" w:rsidRPr="0031547E" w:rsidRDefault="009E192D" w:rsidP="005D5836">
      <w:pPr>
        <w:spacing w:before="120" w:after="120"/>
        <w:ind w:left="5670"/>
        <w:rPr>
          <w:sz w:val="26"/>
          <w:szCs w:val="26"/>
        </w:rPr>
      </w:pPr>
    </w:p>
    <w:p w:rsidR="009E192D" w:rsidRPr="0031547E" w:rsidRDefault="009E192D" w:rsidP="005D5836">
      <w:pPr>
        <w:spacing w:before="120" w:after="120"/>
        <w:ind w:left="5670"/>
        <w:rPr>
          <w:sz w:val="26"/>
          <w:szCs w:val="26"/>
        </w:rPr>
      </w:pPr>
    </w:p>
    <w:p w:rsidR="005D5836" w:rsidRPr="004E2980" w:rsidRDefault="00B0578E" w:rsidP="005D5836">
      <w:pPr>
        <w:spacing w:before="120" w:after="120"/>
        <w:ind w:left="5670"/>
        <w:rPr>
          <w:b/>
          <w:sz w:val="26"/>
          <w:szCs w:val="26"/>
        </w:rPr>
      </w:pPr>
      <w:r w:rsidRPr="004E2980">
        <w:rPr>
          <w:b/>
          <w:sz w:val="26"/>
          <w:szCs w:val="26"/>
        </w:rPr>
        <w:t>Членам Асоціації «Українські фондові торговці»</w:t>
      </w:r>
    </w:p>
    <w:p w:rsidR="0031547E" w:rsidRPr="0031547E" w:rsidRDefault="0031547E" w:rsidP="009153AE">
      <w:pPr>
        <w:spacing w:before="120" w:after="120"/>
        <w:rPr>
          <w:sz w:val="26"/>
          <w:szCs w:val="26"/>
        </w:rPr>
      </w:pPr>
    </w:p>
    <w:p w:rsidR="004E2980" w:rsidRPr="004E2980" w:rsidRDefault="00B0578E" w:rsidP="004E2980">
      <w:pPr>
        <w:rPr>
          <w:b/>
          <w:sz w:val="26"/>
          <w:szCs w:val="26"/>
        </w:rPr>
      </w:pPr>
      <w:r w:rsidRPr="004E2980">
        <w:rPr>
          <w:b/>
          <w:sz w:val="26"/>
          <w:szCs w:val="26"/>
        </w:rPr>
        <w:t xml:space="preserve">Рекомендації щодо </w:t>
      </w:r>
      <w:bookmarkStart w:id="0" w:name="_GoBack"/>
      <w:bookmarkEnd w:id="0"/>
      <w:r w:rsidR="004E2980" w:rsidRPr="004E2980">
        <w:rPr>
          <w:b/>
          <w:sz w:val="26"/>
          <w:szCs w:val="26"/>
        </w:rPr>
        <w:t xml:space="preserve">оцінювання ризиків </w:t>
      </w:r>
    </w:p>
    <w:p w:rsidR="005D5836" w:rsidRPr="004E2980" w:rsidRDefault="004E2980" w:rsidP="004E2980">
      <w:pPr>
        <w:rPr>
          <w:b/>
          <w:sz w:val="26"/>
          <w:szCs w:val="26"/>
        </w:rPr>
      </w:pPr>
      <w:r w:rsidRPr="004E2980">
        <w:rPr>
          <w:b/>
          <w:sz w:val="26"/>
          <w:szCs w:val="26"/>
        </w:rPr>
        <w:t>професійним учасником фондового ринку</w:t>
      </w:r>
    </w:p>
    <w:p w:rsidR="00B0578E" w:rsidRPr="0031547E" w:rsidRDefault="00B0578E" w:rsidP="009153AE">
      <w:pPr>
        <w:spacing w:before="120" w:after="120"/>
        <w:rPr>
          <w:sz w:val="26"/>
          <w:szCs w:val="26"/>
        </w:rPr>
      </w:pPr>
    </w:p>
    <w:p w:rsidR="00B0578E" w:rsidRDefault="000A66C8" w:rsidP="00B0578E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464A7">
        <w:rPr>
          <w:rFonts w:ascii="Times New Roman" w:hAnsi="Times New Roman" w:cs="Times New Roman"/>
          <w:sz w:val="26"/>
          <w:szCs w:val="26"/>
          <w:lang w:val="uk-UA"/>
        </w:rPr>
        <w:t xml:space="preserve">Професійні учасники фондового ринку </w:t>
      </w:r>
      <w:r>
        <w:rPr>
          <w:sz w:val="26"/>
          <w:szCs w:val="26"/>
          <w:lang w:val="uk-UA"/>
        </w:rPr>
        <w:t>(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>ринку цінних паперів) – суб’єкти первинного фінансового моніторингу зобов’язані здійснювати управління ризиками. Оцінювання ризиків здійснюється за відповідними критеріями ризику, одним з яких є відсутність за місцезнаходженням емітента цінних паперів, про що відомо з надійних джерел</w:t>
      </w:r>
    </w:p>
    <w:p w:rsidR="00B0578E" w:rsidRDefault="00B0578E" w:rsidP="00B0578E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Звідси і виникає </w:t>
      </w:r>
      <w:r w:rsidRPr="00B057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питання</w:t>
      </w:r>
      <w:r w:rsidR="000A66C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0A66C8" w:rsidRPr="000A66C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чи можна вважати надійним джерелом для оцінювання ризиків інформацію, розміщену на сайті Комісії в розділі «Контрольно-ревізійна діяльність»/ «Перелік емітентів цінних паперів, про які є відомості щодо відсутності за місцезнаходженням юридичної особи або про які відсутнє підтвердження відомостей про юридичну особу» в частині «Товариства, листи яких повертаються з відміткою пошти « за закінченням терміну зберігання»?</w:t>
      </w:r>
    </w:p>
    <w:p w:rsidR="00B0578E" w:rsidRPr="00B0578E" w:rsidRDefault="00B0578E" w:rsidP="00B0578E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Зазначене питання було предметом обговорення </w:t>
      </w:r>
      <w:r w:rsidRPr="00B0578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Комітету з торгової діяльності Асоціації «Українські Фондові Торговці»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за результатом якого вважаємо за доцільне висловити наступну позицію.</w:t>
      </w:r>
    </w:p>
    <w:p w:rsidR="000A66C8" w:rsidRPr="00C464A7" w:rsidRDefault="000A66C8" w:rsidP="000A66C8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C464A7">
        <w:rPr>
          <w:rFonts w:ascii="Times New Roman" w:hAnsi="Times New Roman" w:cs="Times New Roman"/>
          <w:sz w:val="26"/>
          <w:szCs w:val="26"/>
          <w:lang w:val="uk-UA"/>
        </w:rPr>
        <w:t>Відповідно до абз.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>3 п.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 xml:space="preserve">4 Критеріїв ризику легалізації (відмивання) доходів, одержаних злочинним шляхом, фінансування тероризму та фінансування розповсюдження зброї масового знищення, затверджених наказом Мінфіну від 08.07.2016 </w:t>
      </w:r>
      <w:r>
        <w:rPr>
          <w:rFonts w:ascii="Times New Roman" w:hAnsi="Times New Roman" w:cs="Times New Roman"/>
          <w:sz w:val="26"/>
          <w:szCs w:val="26"/>
          <w:lang w:val="uk-UA"/>
        </w:rPr>
        <w:t>№ 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 xml:space="preserve">584 (далі – Наказ </w:t>
      </w:r>
      <w:r>
        <w:rPr>
          <w:rFonts w:ascii="Times New Roman" w:hAnsi="Times New Roman" w:cs="Times New Roman"/>
          <w:sz w:val="26"/>
          <w:szCs w:val="26"/>
          <w:lang w:val="uk-UA"/>
        </w:rPr>
        <w:t>№ 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>584) надійні джерела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>офіційні засоби розкриття інформації (включаючи інтернет-сторінки) Президента України, Кабінету Міністрів України, Верховної Ради України, Національного банку України, Національної комісії, що здійснює державне регулювання у сфері ринків фінансових послуг, Національної комісії з цінних паперів та фондового ринку, органів виконавчої влади України, інших країн, а також міжнародних, міжурядових організацій, задіяних у сфері боротьби з легалізацією (відмиванням) доходів, одержаних злочинним шляхом, фінансуванням тероризму та фінансуванням розповсюдження зброї масового знищення.</w:t>
      </w:r>
    </w:p>
    <w:p w:rsidR="000A66C8" w:rsidRPr="00C464A7" w:rsidRDefault="000A66C8" w:rsidP="000A66C8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Також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підп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 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>12 п</w:t>
      </w:r>
      <w:r>
        <w:rPr>
          <w:rFonts w:ascii="Times New Roman" w:hAnsi="Times New Roman" w:cs="Times New Roman"/>
          <w:sz w:val="26"/>
          <w:szCs w:val="26"/>
          <w:lang w:val="uk-UA"/>
        </w:rPr>
        <w:t>. 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>1 розд</w:t>
      </w:r>
      <w:r>
        <w:rPr>
          <w:rFonts w:ascii="Times New Roman" w:hAnsi="Times New Roman" w:cs="Times New Roman"/>
          <w:sz w:val="26"/>
          <w:szCs w:val="26"/>
          <w:lang w:val="uk-UA"/>
        </w:rPr>
        <w:t>. 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 xml:space="preserve">IV Наказу </w:t>
      </w:r>
      <w:r>
        <w:rPr>
          <w:rFonts w:ascii="Times New Roman" w:hAnsi="Times New Roman" w:cs="Times New Roman"/>
          <w:sz w:val="26"/>
          <w:szCs w:val="26"/>
          <w:lang w:val="uk-UA"/>
        </w:rPr>
        <w:t>№ 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>584 встановлено, що оцінювання ризику за типом клієнта здійснюється, якщо клієнт є підприємством, про яке з надійних джерел відомо, що воно відсутнє за місцезнаходженням та не подає передбаченої законодавством звітності протягом двох років поспіль.</w:t>
      </w:r>
    </w:p>
    <w:p w:rsidR="000A66C8" w:rsidRPr="00C464A7" w:rsidRDefault="000A66C8" w:rsidP="000A66C8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C464A7">
        <w:rPr>
          <w:rFonts w:ascii="Times New Roman" w:hAnsi="Times New Roman" w:cs="Times New Roman"/>
          <w:sz w:val="26"/>
          <w:szCs w:val="26"/>
          <w:lang w:val="uk-UA"/>
        </w:rPr>
        <w:t>В п</w:t>
      </w:r>
      <w:r>
        <w:rPr>
          <w:rFonts w:ascii="Times New Roman" w:hAnsi="Times New Roman" w:cs="Times New Roman"/>
          <w:sz w:val="26"/>
          <w:szCs w:val="26"/>
          <w:lang w:val="uk-UA"/>
        </w:rPr>
        <w:t>. 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 xml:space="preserve">116 Правил надання послуг поштового зв'язку, затверджених Постановою КМ України від 05.03.2009 </w:t>
      </w:r>
      <w:r>
        <w:rPr>
          <w:rFonts w:ascii="Times New Roman" w:hAnsi="Times New Roman" w:cs="Times New Roman"/>
          <w:sz w:val="26"/>
          <w:szCs w:val="26"/>
          <w:lang w:val="uk-UA"/>
        </w:rPr>
        <w:t>№ 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 xml:space="preserve">270 (далі </w:t>
      </w:r>
      <w:r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 xml:space="preserve"> Правила), вказано, що у разі неможливості вручення одержувачам поштові відправлення, внутрішні поштові перекази 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lastRenderedPageBreak/>
        <w:t>зберігаються об'єктом поштового зв'язку місця призначення протягом одного місяця з дня їх надходження.</w:t>
      </w:r>
    </w:p>
    <w:p w:rsidR="000A66C8" w:rsidRPr="00C464A7" w:rsidRDefault="000A66C8" w:rsidP="000A66C8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Причина повернення листів 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 xml:space="preserve">з відміткою пошти « за закінченням терміну зберігання» не може свідчити про надійність інформації щодо відсутності за місцезнаходженням емітента цінних паперів, оскільки Правилами не передбачено </w:t>
      </w: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повернення поштових відправлень без вручення з підстав «закінчення терміну зберігання»</w:t>
      </w:r>
      <w:r w:rsidRPr="00C464A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A66C8" w:rsidRDefault="000A66C8" w:rsidP="000A66C8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464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Отже, на підставі зазначеного вище, можна дійти висновку, що вказані обставини не розповсюджуються на товариства, зазначені в переліку товариств, листи яких повертаються з відміткою пошти за закінченням терміну зберігання.</w:t>
      </w:r>
    </w:p>
    <w:p w:rsidR="00011DC8" w:rsidRPr="00C464A7" w:rsidRDefault="00011DC8" w:rsidP="000A66C8">
      <w:pPr>
        <w:pStyle w:val="HTML0"/>
        <w:shd w:val="clear" w:color="auto" w:fill="FFFFFF"/>
        <w:spacing w:before="120" w:after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Аналогічний висновок було викладено в листі Комісії від 03.01.2017 № 13/04/2017 наданому на запит Асоціації з даного приводу.</w:t>
      </w:r>
    </w:p>
    <w:p w:rsidR="000A66C8" w:rsidRPr="0031547E" w:rsidRDefault="000A66C8" w:rsidP="005D5836">
      <w:pPr>
        <w:spacing w:before="120" w:after="120"/>
        <w:jc w:val="both"/>
        <w:rPr>
          <w:sz w:val="26"/>
          <w:szCs w:val="26"/>
        </w:rPr>
      </w:pPr>
    </w:p>
    <w:p w:rsidR="0031547E" w:rsidRPr="0031547E" w:rsidRDefault="0031547E" w:rsidP="005D5836">
      <w:pPr>
        <w:spacing w:before="120" w:after="120"/>
        <w:jc w:val="both"/>
        <w:rPr>
          <w:sz w:val="26"/>
          <w:szCs w:val="26"/>
        </w:rPr>
      </w:pPr>
    </w:p>
    <w:p w:rsidR="005D5836" w:rsidRPr="004E2980" w:rsidRDefault="005D5836" w:rsidP="005D5836">
      <w:pPr>
        <w:spacing w:before="120" w:after="120"/>
        <w:jc w:val="both"/>
        <w:rPr>
          <w:b/>
          <w:sz w:val="26"/>
          <w:szCs w:val="26"/>
        </w:rPr>
      </w:pPr>
      <w:r w:rsidRPr="004E2980">
        <w:rPr>
          <w:b/>
          <w:sz w:val="26"/>
          <w:szCs w:val="26"/>
        </w:rPr>
        <w:t>З повагою</w:t>
      </w:r>
    </w:p>
    <w:p w:rsidR="005D5836" w:rsidRPr="004E2980" w:rsidRDefault="005D5836" w:rsidP="005D5836">
      <w:pPr>
        <w:spacing w:before="120" w:after="120"/>
        <w:jc w:val="both"/>
        <w:rPr>
          <w:b/>
          <w:sz w:val="26"/>
          <w:szCs w:val="26"/>
        </w:rPr>
      </w:pPr>
      <w:r w:rsidRPr="004E2980">
        <w:rPr>
          <w:b/>
          <w:sz w:val="26"/>
          <w:szCs w:val="26"/>
        </w:rPr>
        <w:t>Президент</w:t>
      </w:r>
      <w:r w:rsidRPr="004E2980">
        <w:rPr>
          <w:b/>
          <w:sz w:val="26"/>
          <w:szCs w:val="26"/>
        </w:rPr>
        <w:tab/>
      </w:r>
      <w:r w:rsidRPr="004E2980">
        <w:rPr>
          <w:b/>
          <w:sz w:val="26"/>
          <w:szCs w:val="26"/>
        </w:rPr>
        <w:tab/>
      </w:r>
      <w:r w:rsidRPr="004E2980">
        <w:rPr>
          <w:b/>
          <w:sz w:val="26"/>
          <w:szCs w:val="26"/>
        </w:rPr>
        <w:tab/>
      </w:r>
      <w:r w:rsidRPr="004E2980">
        <w:rPr>
          <w:b/>
          <w:sz w:val="26"/>
          <w:szCs w:val="26"/>
        </w:rPr>
        <w:tab/>
      </w:r>
      <w:r w:rsidRPr="004E2980">
        <w:rPr>
          <w:b/>
          <w:sz w:val="26"/>
          <w:szCs w:val="26"/>
        </w:rPr>
        <w:tab/>
      </w:r>
      <w:r w:rsidRPr="004E2980">
        <w:rPr>
          <w:b/>
          <w:sz w:val="26"/>
          <w:szCs w:val="26"/>
        </w:rPr>
        <w:tab/>
      </w:r>
      <w:r w:rsidRPr="004E2980">
        <w:rPr>
          <w:b/>
          <w:sz w:val="26"/>
          <w:szCs w:val="26"/>
        </w:rPr>
        <w:tab/>
      </w:r>
      <w:r w:rsidRPr="004E2980">
        <w:rPr>
          <w:b/>
          <w:sz w:val="26"/>
          <w:szCs w:val="26"/>
        </w:rPr>
        <w:tab/>
      </w:r>
      <w:r w:rsidRPr="004E2980">
        <w:rPr>
          <w:b/>
          <w:sz w:val="26"/>
          <w:szCs w:val="26"/>
        </w:rPr>
        <w:tab/>
      </w:r>
      <w:r w:rsidRPr="004E2980">
        <w:rPr>
          <w:b/>
          <w:sz w:val="26"/>
          <w:szCs w:val="26"/>
        </w:rPr>
        <w:tab/>
        <w:t>Н.А. ГУРЖ</w:t>
      </w:r>
      <w:r w:rsidR="009C0661" w:rsidRPr="004E2980">
        <w:rPr>
          <w:b/>
          <w:sz w:val="26"/>
          <w:szCs w:val="26"/>
        </w:rPr>
        <w:t>И</w:t>
      </w:r>
      <w:r w:rsidRPr="004E2980">
        <w:rPr>
          <w:b/>
          <w:sz w:val="26"/>
          <w:szCs w:val="26"/>
        </w:rPr>
        <w:t>Й</w:t>
      </w:r>
    </w:p>
    <w:sectPr w:rsidR="005D5836" w:rsidRPr="004E2980" w:rsidSect="00A95236">
      <w:pgSz w:w="11906" w:h="16838"/>
      <w:pgMar w:top="850" w:right="850" w:bottom="85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EF" w:rsidRDefault="00807EEF" w:rsidP="00A95236">
      <w:r>
        <w:separator/>
      </w:r>
    </w:p>
  </w:endnote>
  <w:endnote w:type="continuationSeparator" w:id="0">
    <w:p w:rsidR="00807EEF" w:rsidRDefault="00807EEF" w:rsidP="00A9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EF" w:rsidRDefault="00807EEF" w:rsidP="00A95236">
      <w:r>
        <w:separator/>
      </w:r>
    </w:p>
  </w:footnote>
  <w:footnote w:type="continuationSeparator" w:id="0">
    <w:p w:rsidR="00807EEF" w:rsidRDefault="00807EEF" w:rsidP="00A9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045"/>
    <w:multiLevelType w:val="multilevel"/>
    <w:tmpl w:val="6B1C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667CA"/>
    <w:multiLevelType w:val="hybridMultilevel"/>
    <w:tmpl w:val="C80A9E64"/>
    <w:lvl w:ilvl="0" w:tplc="A8CAD9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F3701"/>
    <w:multiLevelType w:val="hybridMultilevel"/>
    <w:tmpl w:val="31A613AC"/>
    <w:lvl w:ilvl="0" w:tplc="8C309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165328"/>
    <w:multiLevelType w:val="hybridMultilevel"/>
    <w:tmpl w:val="9E9C2D76"/>
    <w:lvl w:ilvl="0" w:tplc="A48CF8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F771E52"/>
    <w:multiLevelType w:val="multilevel"/>
    <w:tmpl w:val="F17A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74032"/>
    <w:multiLevelType w:val="hybridMultilevel"/>
    <w:tmpl w:val="8AF8ACDE"/>
    <w:lvl w:ilvl="0" w:tplc="DEC61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6E"/>
    <w:rsid w:val="00011DC8"/>
    <w:rsid w:val="00013E7C"/>
    <w:rsid w:val="000259A0"/>
    <w:rsid w:val="00032DA4"/>
    <w:rsid w:val="000341BA"/>
    <w:rsid w:val="00055B4B"/>
    <w:rsid w:val="00097865"/>
    <w:rsid w:val="000A66C8"/>
    <w:rsid w:val="000B4691"/>
    <w:rsid w:val="000D0C47"/>
    <w:rsid w:val="000E0A05"/>
    <w:rsid w:val="000F3712"/>
    <w:rsid w:val="000F70B6"/>
    <w:rsid w:val="00123CBA"/>
    <w:rsid w:val="001D47E8"/>
    <w:rsid w:val="002120C6"/>
    <w:rsid w:val="00214896"/>
    <w:rsid w:val="0024036E"/>
    <w:rsid w:val="00250277"/>
    <w:rsid w:val="00267AAE"/>
    <w:rsid w:val="00281226"/>
    <w:rsid w:val="00283681"/>
    <w:rsid w:val="00291AF6"/>
    <w:rsid w:val="00294DA7"/>
    <w:rsid w:val="002B3D7E"/>
    <w:rsid w:val="002E2F8D"/>
    <w:rsid w:val="0031541C"/>
    <w:rsid w:val="0031547E"/>
    <w:rsid w:val="0031659D"/>
    <w:rsid w:val="0032382B"/>
    <w:rsid w:val="0034058C"/>
    <w:rsid w:val="00351179"/>
    <w:rsid w:val="00373B79"/>
    <w:rsid w:val="00394A7C"/>
    <w:rsid w:val="003A18E3"/>
    <w:rsid w:val="003B4F92"/>
    <w:rsid w:val="0040229F"/>
    <w:rsid w:val="00450C0E"/>
    <w:rsid w:val="00452B92"/>
    <w:rsid w:val="00453527"/>
    <w:rsid w:val="004573FB"/>
    <w:rsid w:val="0045787C"/>
    <w:rsid w:val="004616FD"/>
    <w:rsid w:val="004952A2"/>
    <w:rsid w:val="004955B0"/>
    <w:rsid w:val="004C1A6F"/>
    <w:rsid w:val="004E2980"/>
    <w:rsid w:val="004F3B65"/>
    <w:rsid w:val="004F7E5C"/>
    <w:rsid w:val="00511B85"/>
    <w:rsid w:val="00533B2E"/>
    <w:rsid w:val="00533B61"/>
    <w:rsid w:val="005447BC"/>
    <w:rsid w:val="005515B7"/>
    <w:rsid w:val="005545F7"/>
    <w:rsid w:val="00566C53"/>
    <w:rsid w:val="005D0E9A"/>
    <w:rsid w:val="005D5836"/>
    <w:rsid w:val="0060168D"/>
    <w:rsid w:val="0060611E"/>
    <w:rsid w:val="00642FAC"/>
    <w:rsid w:val="00664880"/>
    <w:rsid w:val="0066494C"/>
    <w:rsid w:val="00680DC6"/>
    <w:rsid w:val="006942D2"/>
    <w:rsid w:val="006A0939"/>
    <w:rsid w:val="00721044"/>
    <w:rsid w:val="0072383A"/>
    <w:rsid w:val="007378BD"/>
    <w:rsid w:val="007422DD"/>
    <w:rsid w:val="00743FD4"/>
    <w:rsid w:val="007707D2"/>
    <w:rsid w:val="0078317B"/>
    <w:rsid w:val="00783389"/>
    <w:rsid w:val="007B7C47"/>
    <w:rsid w:val="007C6BB2"/>
    <w:rsid w:val="007D6E97"/>
    <w:rsid w:val="007E0689"/>
    <w:rsid w:val="007F5A14"/>
    <w:rsid w:val="00803D1F"/>
    <w:rsid w:val="008047EF"/>
    <w:rsid w:val="00805BC0"/>
    <w:rsid w:val="00807EEF"/>
    <w:rsid w:val="00810FE8"/>
    <w:rsid w:val="0082216E"/>
    <w:rsid w:val="008302F4"/>
    <w:rsid w:val="008431BB"/>
    <w:rsid w:val="008714A9"/>
    <w:rsid w:val="0087176D"/>
    <w:rsid w:val="00873147"/>
    <w:rsid w:val="00881715"/>
    <w:rsid w:val="00894DE8"/>
    <w:rsid w:val="008A3501"/>
    <w:rsid w:val="008B0B78"/>
    <w:rsid w:val="008B11C0"/>
    <w:rsid w:val="008B315A"/>
    <w:rsid w:val="008C0AD8"/>
    <w:rsid w:val="008C295A"/>
    <w:rsid w:val="008C5ADE"/>
    <w:rsid w:val="008C67DB"/>
    <w:rsid w:val="008E34FC"/>
    <w:rsid w:val="00905EAA"/>
    <w:rsid w:val="009153AE"/>
    <w:rsid w:val="009165A7"/>
    <w:rsid w:val="00924A41"/>
    <w:rsid w:val="0094607C"/>
    <w:rsid w:val="00947A3B"/>
    <w:rsid w:val="00991F78"/>
    <w:rsid w:val="009B1F31"/>
    <w:rsid w:val="009C0661"/>
    <w:rsid w:val="009C56DB"/>
    <w:rsid w:val="009D620A"/>
    <w:rsid w:val="009E192D"/>
    <w:rsid w:val="009E5EB3"/>
    <w:rsid w:val="009E6BED"/>
    <w:rsid w:val="009F7D92"/>
    <w:rsid w:val="00A013A6"/>
    <w:rsid w:val="00A24C60"/>
    <w:rsid w:val="00A27033"/>
    <w:rsid w:val="00A34600"/>
    <w:rsid w:val="00A36486"/>
    <w:rsid w:val="00A37BFC"/>
    <w:rsid w:val="00A47647"/>
    <w:rsid w:val="00A52AE7"/>
    <w:rsid w:val="00A57C09"/>
    <w:rsid w:val="00A95236"/>
    <w:rsid w:val="00AB2EE2"/>
    <w:rsid w:val="00AB4A8F"/>
    <w:rsid w:val="00AB5835"/>
    <w:rsid w:val="00AE5DE5"/>
    <w:rsid w:val="00B0578E"/>
    <w:rsid w:val="00B132F3"/>
    <w:rsid w:val="00B46067"/>
    <w:rsid w:val="00B550D1"/>
    <w:rsid w:val="00B63E67"/>
    <w:rsid w:val="00BC7552"/>
    <w:rsid w:val="00BD121D"/>
    <w:rsid w:val="00BF0473"/>
    <w:rsid w:val="00C17546"/>
    <w:rsid w:val="00C24A06"/>
    <w:rsid w:val="00C26906"/>
    <w:rsid w:val="00C345D3"/>
    <w:rsid w:val="00C349F4"/>
    <w:rsid w:val="00C66EAA"/>
    <w:rsid w:val="00C917CA"/>
    <w:rsid w:val="00C95E9F"/>
    <w:rsid w:val="00CB44A6"/>
    <w:rsid w:val="00CC2F0E"/>
    <w:rsid w:val="00CE63EF"/>
    <w:rsid w:val="00CF2AD4"/>
    <w:rsid w:val="00D13D2B"/>
    <w:rsid w:val="00D15B4A"/>
    <w:rsid w:val="00D16039"/>
    <w:rsid w:val="00D36F74"/>
    <w:rsid w:val="00DC1147"/>
    <w:rsid w:val="00DC34C7"/>
    <w:rsid w:val="00DC362D"/>
    <w:rsid w:val="00E443AE"/>
    <w:rsid w:val="00E52A05"/>
    <w:rsid w:val="00E62BD3"/>
    <w:rsid w:val="00E72698"/>
    <w:rsid w:val="00E8532A"/>
    <w:rsid w:val="00E92C33"/>
    <w:rsid w:val="00EB16D0"/>
    <w:rsid w:val="00ED5D49"/>
    <w:rsid w:val="00ED68F5"/>
    <w:rsid w:val="00EE404A"/>
    <w:rsid w:val="00F2431F"/>
    <w:rsid w:val="00F314E8"/>
    <w:rsid w:val="00F4543D"/>
    <w:rsid w:val="00F54FF2"/>
    <w:rsid w:val="00F937AB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95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2216E"/>
    <w:pPr>
      <w:keepNext/>
      <w:outlineLvl w:val="0"/>
    </w:pPr>
    <w:rPr>
      <w:sz w:val="28"/>
      <w:szCs w:val="20"/>
      <w:lang w:val="ru-RU" w:eastAsia="en-US"/>
    </w:rPr>
  </w:style>
  <w:style w:type="paragraph" w:styleId="3">
    <w:name w:val="heading 3"/>
    <w:basedOn w:val="a"/>
    <w:next w:val="a"/>
    <w:qFormat/>
    <w:rsid w:val="00294D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216E"/>
    <w:pPr>
      <w:jc w:val="center"/>
    </w:pPr>
    <w:rPr>
      <w:sz w:val="28"/>
      <w:szCs w:val="28"/>
      <w:lang w:eastAsia="ru-RU"/>
    </w:rPr>
  </w:style>
  <w:style w:type="character" w:customStyle="1" w:styleId="FontStyle">
    <w:name w:val="Font Style"/>
    <w:rsid w:val="0082216E"/>
    <w:rPr>
      <w:color w:val="000000"/>
      <w:sz w:val="20"/>
    </w:rPr>
  </w:style>
  <w:style w:type="paragraph" w:customStyle="1" w:styleId="a5">
    <w:name w:val="Знак"/>
    <w:basedOn w:val="a"/>
    <w:autoRedefine/>
    <w:rsid w:val="0082216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Balloon Text"/>
    <w:basedOn w:val="a"/>
    <w:semiHidden/>
    <w:rsid w:val="008E34FC"/>
    <w:rPr>
      <w:rFonts w:ascii="Tahoma" w:hAnsi="Tahoma" w:cs="Tahoma"/>
      <w:sz w:val="16"/>
      <w:szCs w:val="16"/>
    </w:rPr>
  </w:style>
  <w:style w:type="character" w:styleId="HTML">
    <w:name w:val="HTML Typewriter"/>
    <w:rsid w:val="00AB583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03D1F"/>
  </w:style>
  <w:style w:type="paragraph" w:styleId="a7">
    <w:name w:val="Body Text"/>
    <w:basedOn w:val="a"/>
    <w:rsid w:val="0034058C"/>
    <w:pPr>
      <w:tabs>
        <w:tab w:val="left" w:pos="709"/>
      </w:tabs>
      <w:jc w:val="both"/>
    </w:pPr>
    <w:rPr>
      <w:sz w:val="28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5447B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0B4691"/>
    <w:pPr>
      <w:spacing w:after="120"/>
      <w:ind w:left="283"/>
    </w:pPr>
  </w:style>
  <w:style w:type="character" w:customStyle="1" w:styleId="90pt">
    <w:name w:val="Основной текст (9) + Интервал 0 pt"/>
    <w:rsid w:val="008C295A"/>
    <w:rPr>
      <w:rFonts w:ascii="Times New Roman" w:hAnsi="Times New Roman"/>
      <w:b/>
      <w:color w:val="000000"/>
      <w:spacing w:val="7"/>
      <w:w w:val="100"/>
      <w:position w:val="0"/>
      <w:sz w:val="25"/>
      <w:vertAlign w:val="baseline"/>
      <w:lang w:val="uk-UA" w:eastAsia="x-none"/>
    </w:rPr>
  </w:style>
  <w:style w:type="paragraph" w:customStyle="1" w:styleId="11">
    <w:name w:val="Без интервала1"/>
    <w:rsid w:val="00294DA7"/>
    <w:rPr>
      <w:rFonts w:ascii="Calibri" w:hAnsi="Calibri"/>
      <w:sz w:val="22"/>
      <w:szCs w:val="22"/>
      <w:lang w:val="uk-UA" w:eastAsia="en-US"/>
    </w:rPr>
  </w:style>
  <w:style w:type="character" w:customStyle="1" w:styleId="a4">
    <w:name w:val="Название Знак"/>
    <w:link w:val="a3"/>
    <w:locked/>
    <w:rsid w:val="00F54FF2"/>
    <w:rPr>
      <w:sz w:val="28"/>
      <w:szCs w:val="28"/>
      <w:lang w:val="uk-UA" w:eastAsia="ru-RU" w:bidi="ar-SA"/>
    </w:rPr>
  </w:style>
  <w:style w:type="paragraph" w:customStyle="1" w:styleId="StyleZakonu">
    <w:name w:val="StyleZakonu"/>
    <w:basedOn w:val="a"/>
    <w:rsid w:val="00F54FF2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aa">
    <w:name w:val="Установа"/>
    <w:basedOn w:val="a"/>
    <w:rsid w:val="00F54FF2"/>
    <w:pPr>
      <w:keepNext/>
      <w:keepLines/>
      <w:spacing w:before="120"/>
      <w:jc w:val="center"/>
    </w:pPr>
    <w:rPr>
      <w:rFonts w:ascii="Antiqua" w:hAnsi="Antiqua"/>
      <w:b/>
      <w:i/>
      <w:caps/>
      <w:sz w:val="48"/>
      <w:szCs w:val="20"/>
      <w:lang w:eastAsia="ru-RU"/>
    </w:rPr>
  </w:style>
  <w:style w:type="paragraph" w:customStyle="1" w:styleId="ab">
    <w:name w:val="Нормальний текст"/>
    <w:basedOn w:val="a"/>
    <w:rsid w:val="00AB4A8F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rsid w:val="007C6BB2"/>
    <w:pPr>
      <w:spacing w:before="100" w:beforeAutospacing="1" w:after="100" w:afterAutospacing="1"/>
    </w:pPr>
  </w:style>
  <w:style w:type="character" w:customStyle="1" w:styleId="rvts9">
    <w:name w:val="rvts9"/>
    <w:rsid w:val="007C6BB2"/>
  </w:style>
  <w:style w:type="character" w:styleId="ac">
    <w:name w:val="Hyperlink"/>
    <w:unhideWhenUsed/>
    <w:rsid w:val="007C6BB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B1F31"/>
    <w:pPr>
      <w:ind w:left="708"/>
    </w:pPr>
    <w:rPr>
      <w:lang w:eastAsia="ru-RU"/>
    </w:rPr>
  </w:style>
  <w:style w:type="paragraph" w:styleId="ae">
    <w:name w:val="header"/>
    <w:basedOn w:val="a"/>
    <w:link w:val="af"/>
    <w:uiPriority w:val="99"/>
    <w:rsid w:val="00A952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95236"/>
    <w:rPr>
      <w:sz w:val="24"/>
      <w:szCs w:val="24"/>
    </w:rPr>
  </w:style>
  <w:style w:type="paragraph" w:styleId="af0">
    <w:name w:val="footer"/>
    <w:basedOn w:val="a"/>
    <w:link w:val="af1"/>
    <w:rsid w:val="00A952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95236"/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D1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link w:val="HTML0"/>
    <w:uiPriority w:val="99"/>
    <w:rsid w:val="00D16039"/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214896"/>
    <w:rPr>
      <w:sz w:val="28"/>
      <w:lang w:eastAsia="en-US"/>
    </w:rPr>
  </w:style>
  <w:style w:type="paragraph" w:customStyle="1" w:styleId="rvps7">
    <w:name w:val="rvps7"/>
    <w:basedOn w:val="a"/>
    <w:rsid w:val="009153A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91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95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2216E"/>
    <w:pPr>
      <w:keepNext/>
      <w:outlineLvl w:val="0"/>
    </w:pPr>
    <w:rPr>
      <w:sz w:val="28"/>
      <w:szCs w:val="20"/>
      <w:lang w:val="ru-RU" w:eastAsia="en-US"/>
    </w:rPr>
  </w:style>
  <w:style w:type="paragraph" w:styleId="3">
    <w:name w:val="heading 3"/>
    <w:basedOn w:val="a"/>
    <w:next w:val="a"/>
    <w:qFormat/>
    <w:rsid w:val="00294D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216E"/>
    <w:pPr>
      <w:jc w:val="center"/>
    </w:pPr>
    <w:rPr>
      <w:sz w:val="28"/>
      <w:szCs w:val="28"/>
      <w:lang w:eastAsia="ru-RU"/>
    </w:rPr>
  </w:style>
  <w:style w:type="character" w:customStyle="1" w:styleId="FontStyle">
    <w:name w:val="Font Style"/>
    <w:rsid w:val="0082216E"/>
    <w:rPr>
      <w:color w:val="000000"/>
      <w:sz w:val="20"/>
    </w:rPr>
  </w:style>
  <w:style w:type="paragraph" w:customStyle="1" w:styleId="a5">
    <w:name w:val="Знак"/>
    <w:basedOn w:val="a"/>
    <w:autoRedefine/>
    <w:rsid w:val="0082216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Balloon Text"/>
    <w:basedOn w:val="a"/>
    <w:semiHidden/>
    <w:rsid w:val="008E34FC"/>
    <w:rPr>
      <w:rFonts w:ascii="Tahoma" w:hAnsi="Tahoma" w:cs="Tahoma"/>
      <w:sz w:val="16"/>
      <w:szCs w:val="16"/>
    </w:rPr>
  </w:style>
  <w:style w:type="character" w:styleId="HTML">
    <w:name w:val="HTML Typewriter"/>
    <w:rsid w:val="00AB583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03D1F"/>
  </w:style>
  <w:style w:type="paragraph" w:styleId="a7">
    <w:name w:val="Body Text"/>
    <w:basedOn w:val="a"/>
    <w:rsid w:val="0034058C"/>
    <w:pPr>
      <w:tabs>
        <w:tab w:val="left" w:pos="709"/>
      </w:tabs>
      <w:jc w:val="both"/>
    </w:pPr>
    <w:rPr>
      <w:sz w:val="28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5447B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0B4691"/>
    <w:pPr>
      <w:spacing w:after="120"/>
      <w:ind w:left="283"/>
    </w:pPr>
  </w:style>
  <w:style w:type="character" w:customStyle="1" w:styleId="90pt">
    <w:name w:val="Основной текст (9) + Интервал 0 pt"/>
    <w:rsid w:val="008C295A"/>
    <w:rPr>
      <w:rFonts w:ascii="Times New Roman" w:hAnsi="Times New Roman"/>
      <w:b/>
      <w:color w:val="000000"/>
      <w:spacing w:val="7"/>
      <w:w w:val="100"/>
      <w:position w:val="0"/>
      <w:sz w:val="25"/>
      <w:vertAlign w:val="baseline"/>
      <w:lang w:val="uk-UA" w:eastAsia="x-none"/>
    </w:rPr>
  </w:style>
  <w:style w:type="paragraph" w:customStyle="1" w:styleId="11">
    <w:name w:val="Без интервала1"/>
    <w:rsid w:val="00294DA7"/>
    <w:rPr>
      <w:rFonts w:ascii="Calibri" w:hAnsi="Calibri"/>
      <w:sz w:val="22"/>
      <w:szCs w:val="22"/>
      <w:lang w:val="uk-UA" w:eastAsia="en-US"/>
    </w:rPr>
  </w:style>
  <w:style w:type="character" w:customStyle="1" w:styleId="a4">
    <w:name w:val="Название Знак"/>
    <w:link w:val="a3"/>
    <w:locked/>
    <w:rsid w:val="00F54FF2"/>
    <w:rPr>
      <w:sz w:val="28"/>
      <w:szCs w:val="28"/>
      <w:lang w:val="uk-UA" w:eastAsia="ru-RU" w:bidi="ar-SA"/>
    </w:rPr>
  </w:style>
  <w:style w:type="paragraph" w:customStyle="1" w:styleId="StyleZakonu">
    <w:name w:val="StyleZakonu"/>
    <w:basedOn w:val="a"/>
    <w:rsid w:val="00F54FF2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paragraph" w:customStyle="1" w:styleId="aa">
    <w:name w:val="Установа"/>
    <w:basedOn w:val="a"/>
    <w:rsid w:val="00F54FF2"/>
    <w:pPr>
      <w:keepNext/>
      <w:keepLines/>
      <w:spacing w:before="120"/>
      <w:jc w:val="center"/>
    </w:pPr>
    <w:rPr>
      <w:rFonts w:ascii="Antiqua" w:hAnsi="Antiqua"/>
      <w:b/>
      <w:i/>
      <w:caps/>
      <w:sz w:val="48"/>
      <w:szCs w:val="20"/>
      <w:lang w:eastAsia="ru-RU"/>
    </w:rPr>
  </w:style>
  <w:style w:type="paragraph" w:customStyle="1" w:styleId="ab">
    <w:name w:val="Нормальний текст"/>
    <w:basedOn w:val="a"/>
    <w:rsid w:val="00AB4A8F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rsid w:val="007C6BB2"/>
    <w:pPr>
      <w:spacing w:before="100" w:beforeAutospacing="1" w:after="100" w:afterAutospacing="1"/>
    </w:pPr>
  </w:style>
  <w:style w:type="character" w:customStyle="1" w:styleId="rvts9">
    <w:name w:val="rvts9"/>
    <w:rsid w:val="007C6BB2"/>
  </w:style>
  <w:style w:type="character" w:styleId="ac">
    <w:name w:val="Hyperlink"/>
    <w:unhideWhenUsed/>
    <w:rsid w:val="007C6BB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B1F31"/>
    <w:pPr>
      <w:ind w:left="708"/>
    </w:pPr>
    <w:rPr>
      <w:lang w:eastAsia="ru-RU"/>
    </w:rPr>
  </w:style>
  <w:style w:type="paragraph" w:styleId="ae">
    <w:name w:val="header"/>
    <w:basedOn w:val="a"/>
    <w:link w:val="af"/>
    <w:uiPriority w:val="99"/>
    <w:rsid w:val="00A952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95236"/>
    <w:rPr>
      <w:sz w:val="24"/>
      <w:szCs w:val="24"/>
    </w:rPr>
  </w:style>
  <w:style w:type="paragraph" w:styleId="af0">
    <w:name w:val="footer"/>
    <w:basedOn w:val="a"/>
    <w:link w:val="af1"/>
    <w:rsid w:val="00A952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95236"/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D1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link w:val="HTML0"/>
    <w:uiPriority w:val="99"/>
    <w:rsid w:val="00D16039"/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214896"/>
    <w:rPr>
      <w:sz w:val="28"/>
      <w:lang w:eastAsia="en-US"/>
    </w:rPr>
  </w:style>
  <w:style w:type="paragraph" w:customStyle="1" w:styleId="rvps7">
    <w:name w:val="rvps7"/>
    <w:basedOn w:val="a"/>
    <w:rsid w:val="009153A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91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8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2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6906">
          <w:marLeft w:val="2475"/>
          <w:marRight w:val="0"/>
          <w:marTop w:val="0"/>
          <w:marBottom w:val="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</w:div>
      </w:divsChild>
    </w:div>
    <w:div w:id="1205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829">
      <w:bodyDiv w:val="1"/>
      <w:marLeft w:val="300"/>
      <w:marRight w:val="22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9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7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5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8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6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SSMSC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Дюговський Олександр</dc:creator>
  <cp:lastModifiedBy>Гуржий Наталья Анатольевна</cp:lastModifiedBy>
  <cp:revision>6</cp:revision>
  <cp:lastPrinted>2017-02-07T16:08:00Z</cp:lastPrinted>
  <dcterms:created xsi:type="dcterms:W3CDTF">2017-02-10T12:54:00Z</dcterms:created>
  <dcterms:modified xsi:type="dcterms:W3CDTF">2017-02-13T09:58:00Z</dcterms:modified>
</cp:coreProperties>
</file>